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157"/>
        <w:jc w:val="thaiDistribute"/>
        <w:rPr>
          <w:rFonts w:ascii="Cordia New" w:hAnsi="Cordia New"/>
          <w:b/>
          <w:bCs/>
          <w:i/>
          <w:iCs/>
          <w:sz w:val="28"/>
          <w:szCs w:val="36"/>
          <w:lang w:eastAsia="zh-CN"/>
        </w:rPr>
      </w:pPr>
      <w:bookmarkStart w:id="0" w:name="_Hlk22654390"/>
      <w:r>
        <w:rPr>
          <w:b/>
          <w:i/>
          <w:sz w:val="28"/>
          <w:szCs w:val="36"/>
          <w:lang w:eastAsia="zh-CN"/>
        </w:rPr>
        <w:t>新闻稿</w:t>
      </w:r>
    </w:p>
    <w:p>
      <w:pPr>
        <w:pStyle w:val="style157"/>
        <w:jc w:val="thaiDistribute"/>
        <w:rPr>
          <w:rFonts w:ascii="Cordia New" w:hAnsi="Cordia New"/>
          <w:b/>
          <w:bCs/>
          <w:sz w:val="28"/>
          <w:szCs w:val="36"/>
          <w:cs/>
        </w:rPr>
      </w:pPr>
    </w:p>
    <w:p>
      <w:pPr>
        <w:pStyle w:val="style157"/>
        <w:jc w:val="center"/>
        <w:rPr>
          <w:rFonts w:ascii="宋体" w:eastAsia="宋体" w:hAnsi="宋体"/>
          <w:b/>
          <w:bCs/>
          <w:color w:val="ff0000"/>
          <w:sz w:val="32"/>
          <w:szCs w:val="32"/>
          <w:cs/>
        </w:rPr>
      </w:pPr>
      <w:r>
        <w:rPr>
          <w:rFonts w:ascii="宋体" w:cs="Microsoft YaHei" w:eastAsia="宋体" w:hAnsi="宋体" w:hint="eastAsia"/>
          <w:b/>
          <w:bCs/>
          <w:sz w:val="32"/>
          <w:szCs w:val="32"/>
          <w:lang w:eastAsia="zh-CN"/>
        </w:rPr>
        <w:t>中国科学院曼谷创新合作中心</w:t>
      </w:r>
      <w:r>
        <w:rPr>
          <w:rFonts w:ascii="宋体" w:cs="Microsoft YaHei" w:eastAsia="宋体" w:hAnsi="宋体" w:hint="eastAsia"/>
          <w:b/>
          <w:bCs/>
          <w:sz w:val="32"/>
          <w:szCs w:val="32"/>
          <w:lang w:eastAsia="zh-CN"/>
        </w:rPr>
        <w:t>引领“一带一路”</w:t>
      </w:r>
      <w:r>
        <w:rPr>
          <w:rFonts w:ascii="宋体" w:cs="Microsoft YaHei" w:eastAsia="宋体" w:hAnsi="宋体" w:hint="eastAsia"/>
          <w:b/>
          <w:bCs/>
          <w:sz w:val="32"/>
          <w:szCs w:val="32"/>
          <w:lang w:eastAsia="zh-CN"/>
        </w:rPr>
        <w:t>科技</w:t>
      </w:r>
      <w:r>
        <w:rPr>
          <w:rFonts w:ascii="宋体" w:cs="Microsoft YaHei" w:eastAsia="宋体" w:hAnsi="宋体" w:hint="eastAsia"/>
          <w:b/>
          <w:bCs/>
          <w:sz w:val="32"/>
          <w:szCs w:val="32"/>
          <w:lang w:eastAsia="zh-CN"/>
        </w:rPr>
        <w:t>合作新风尚</w:t>
      </w:r>
    </w:p>
    <w:bookmarkEnd w:id="0"/>
    <w:p>
      <w:pPr>
        <w:pStyle w:val="style157"/>
        <w:jc w:val="thaiDistribute"/>
        <w:rPr>
          <w:rFonts w:ascii="STFangsong" w:eastAsia="STFangsong" w:hAnsi="STFangsong"/>
          <w:sz w:val="28"/>
          <w:lang w:eastAsia="zh-CN"/>
        </w:rPr>
      </w:pPr>
    </w:p>
    <w:p>
      <w:pPr>
        <w:pStyle w:val="style157"/>
        <w:jc w:val="thaiDistribute"/>
        <w:rPr>
          <w:rFonts w:ascii="STFangsong" w:cs="Cordia New" w:eastAsia="STFangsong" w:hAnsi="STFangsong"/>
          <w:bCs/>
          <w:iCs/>
          <w:sz w:val="28"/>
          <w:lang w:eastAsia="zh-CN"/>
        </w:rPr>
      </w:pPr>
      <w:r>
        <w:rPr>
          <w:rFonts w:ascii="STFangsong" w:eastAsia="STFangsong" w:hAnsi="STFangsong" w:hint="eastAsia"/>
          <w:bCs/>
          <w:iCs/>
          <w:sz w:val="28"/>
          <w:lang w:eastAsia="zh-CN"/>
        </w:rPr>
        <w:t xml:space="preserve"> </w:t>
      </w:r>
      <w:r>
        <w:rPr>
          <w:rFonts w:ascii="STFangsong" w:eastAsia="STFangsong" w:hAnsi="STFangsong"/>
          <w:bCs/>
          <w:iCs/>
          <w:sz w:val="28"/>
          <w:lang w:eastAsia="zh-CN"/>
        </w:rPr>
        <w:t xml:space="preserve">   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在中泰两国总理见证下，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2019</w:t>
      </w:r>
      <w:r>
        <w:rPr>
          <w:rFonts w:ascii="STFangsong" w:eastAsia="STFangsong" w:hAnsi="STFangsong"/>
          <w:bCs/>
          <w:iCs/>
          <w:sz w:val="28"/>
          <w:lang w:eastAsia="zh-CN"/>
        </w:rPr>
        <w:t>年11月5日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中国科学院</w:t>
      </w:r>
      <w:bookmarkStart w:id="1" w:name="_GoBack"/>
      <w:bookmarkEnd w:id="1"/>
      <w:r>
        <w:rPr>
          <w:rFonts w:ascii="STFangsong" w:eastAsia="STFangsong" w:hAnsi="STFangsong" w:hint="eastAsia"/>
          <w:bCs/>
          <w:iCs/>
          <w:sz w:val="28"/>
          <w:lang w:eastAsia="zh-CN"/>
        </w:rPr>
        <w:t>曼谷创新合作中心（以下简称：曼谷中心）携手东盟创新巨头泰国暹罗皇家水泥集团（以下简称：SCG）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聚焦多项成果，在近2年紧密合作基础上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续签战略合作协议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。双方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的合作涵盖领域广泛，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共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同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在智慧城市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、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人工智能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、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高附加值化学品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、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新能源技术和环境与可持续发展技术等五个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细分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方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向就</w:t>
      </w:r>
      <w:r>
        <w:rPr>
          <w:rFonts w:ascii="STFangsong" w:eastAsia="STFangsong" w:hAnsi="STFangsong"/>
          <w:bCs/>
          <w:iCs/>
          <w:sz w:val="28"/>
          <w:lang w:eastAsia="zh-CN"/>
        </w:rPr>
        <w:t>联合</w:t>
      </w:r>
      <w:r>
        <w:rPr>
          <w:rFonts w:ascii="STFangsong" w:eastAsia="STFangsong" w:hAnsi="STFangsong"/>
          <w:bCs/>
          <w:iCs/>
          <w:sz w:val="28"/>
          <w:lang w:eastAsia="zh-CN"/>
        </w:rPr>
        <w:t>开发与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技术转化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开展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合作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，此次签约将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续写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中泰两国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科技合作新篇章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，为“中泰一家亲”贡献力量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。</w:t>
      </w:r>
    </w:p>
    <w:p>
      <w:pPr>
        <w:pStyle w:val="style157"/>
        <w:ind w:firstLine="720"/>
        <w:jc w:val="thaiDistribute"/>
        <w:rPr>
          <w:rFonts w:ascii="STFangsong" w:eastAsia="STFangsong" w:hAnsi="STFangsong"/>
          <w:bCs/>
          <w:iCs/>
          <w:sz w:val="28"/>
          <w:lang w:eastAsia="zh-CN"/>
        </w:rPr>
      </w:pPr>
      <w:r>
        <w:rPr>
          <w:rFonts w:ascii="STFangsong" w:eastAsia="STFangsong" w:hAnsi="STFangsong" w:hint="eastAsia"/>
          <w:bCs/>
          <w:iCs/>
          <w:sz w:val="28"/>
          <w:lang w:eastAsia="zh-CN"/>
        </w:rPr>
        <w:t>曼谷中心</w:t>
      </w:r>
      <w:r>
        <w:rPr>
          <w:rFonts w:ascii="STFangsong" w:eastAsia="STFangsong" w:hAnsi="STFangsong"/>
          <w:bCs/>
          <w:iCs/>
          <w:sz w:val="28"/>
          <w:lang w:eastAsia="zh-CN"/>
        </w:rPr>
        <w:t>主任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姜标</w:t>
      </w:r>
      <w:r>
        <w:rPr>
          <w:rFonts w:ascii="STFangsong" w:eastAsia="STFangsong" w:hAnsi="STFangsong"/>
          <w:bCs/>
          <w:iCs/>
          <w:sz w:val="28"/>
          <w:lang w:eastAsia="zh-CN"/>
        </w:rPr>
        <w:t>博士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在采访中表示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SCG是</w:t>
      </w:r>
      <w:r>
        <w:rPr>
          <w:rFonts w:ascii="STFangsong" w:eastAsia="STFangsong" w:hAnsi="STFangsong"/>
          <w:bCs/>
          <w:iCs/>
          <w:sz w:val="28"/>
          <w:lang w:eastAsia="zh-CN"/>
        </w:rPr>
        <w:t>泰国和东盟地区领先的创新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企业。通过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与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SCG的合作，</w:t>
      </w:r>
      <w:r>
        <w:rPr>
          <w:rFonts w:ascii="STFangsong" w:eastAsia="STFangsong" w:hAnsi="STFangsong"/>
          <w:bCs/>
          <w:iCs/>
          <w:sz w:val="28"/>
          <w:lang w:eastAsia="zh-CN"/>
        </w:rPr>
        <w:t>中科院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已经将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所属科研院所技术和控股科技企业产品引入泰国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社会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。在智慧建筑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、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环境治理和化工技术等方面取得了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卓有成效的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合作成果。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此次续签进一步夯实了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双方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全面科技创新合作</w:t>
      </w:r>
      <w:r>
        <w:rPr>
          <w:rFonts w:ascii="STFangsong" w:eastAsia="STFangsong" w:hAnsi="STFangsong"/>
          <w:bCs/>
          <w:iCs/>
          <w:sz w:val="28"/>
          <w:lang w:eastAsia="zh-CN"/>
        </w:rPr>
        <w:t>伙伴关系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，这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不仅</w:t>
      </w:r>
      <w:r>
        <w:rPr>
          <w:rFonts w:ascii="STFangsong" w:eastAsia="STFangsong" w:hAnsi="STFangsong"/>
          <w:bCs/>
          <w:iCs/>
          <w:sz w:val="28"/>
          <w:lang w:eastAsia="zh-CN"/>
        </w:rPr>
        <w:t>有助于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向泰国和东盟地区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国家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传递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代表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中科院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在内的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中国科技创新力量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重要影响力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，同时也有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助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于中科院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所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属院所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企业进一步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提升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其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海外市场创新能力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的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培养。</w:t>
      </w:r>
    </w:p>
    <w:p>
      <w:pPr>
        <w:pStyle w:val="style157"/>
        <w:ind w:firstLine="720"/>
        <w:jc w:val="thaiDistribute"/>
        <w:rPr>
          <w:rFonts w:ascii="STFangsong" w:eastAsia="STFangsong" w:hAnsi="STFangsong"/>
          <w:bCs/>
          <w:iCs/>
          <w:sz w:val="28"/>
          <w:lang w:eastAsia="zh-CN"/>
        </w:rPr>
      </w:pPr>
      <w:r>
        <w:rPr>
          <w:rFonts w:ascii="STFangsong" w:eastAsia="STFangsong" w:hAnsi="STFangsong"/>
          <w:bCs/>
          <w:iCs/>
          <w:sz w:val="28"/>
          <w:lang w:eastAsia="zh-CN"/>
        </w:rPr>
        <w:t>SCG总裁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润荣先生高度评价与曼谷中心的合作。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总裁先生认为：</w:t>
      </w:r>
      <w:r>
        <w:rPr>
          <w:rFonts w:ascii="STFangsong" w:eastAsia="STFangsong" w:hAnsi="STFangsong"/>
          <w:bCs/>
          <w:iCs/>
          <w:sz w:val="28"/>
          <w:lang w:eastAsia="zh-CN"/>
        </w:rPr>
        <w:t>中国科学院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是中国最</w:t>
      </w:r>
      <w:r>
        <w:rPr>
          <w:rFonts w:ascii="STFangsong" w:eastAsia="STFangsong" w:hAnsi="STFangsong"/>
          <w:bCs/>
          <w:iCs/>
          <w:sz w:val="28"/>
          <w:lang w:eastAsia="zh-CN"/>
        </w:rPr>
        <w:t>高层次的科研机构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代表</w:t>
      </w:r>
      <w:r>
        <w:rPr>
          <w:rFonts w:ascii="STFangsong" w:eastAsia="STFangsong" w:hAnsi="STFangsong"/>
          <w:bCs/>
          <w:iCs/>
          <w:sz w:val="28"/>
          <w:lang w:eastAsia="zh-CN"/>
        </w:rPr>
        <w:t>，在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中国国家科技创新</w:t>
      </w:r>
      <w:r>
        <w:rPr>
          <w:rFonts w:ascii="STFangsong" w:eastAsia="STFangsong" w:hAnsi="STFangsong"/>
          <w:bCs/>
          <w:iCs/>
          <w:sz w:val="28"/>
          <w:lang w:eastAsia="zh-CN"/>
        </w:rPr>
        <w:t>发展中起着至关重要的作用，是中国科技和创新的主要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策源地</w:t>
      </w:r>
      <w:r>
        <w:rPr>
          <w:rFonts w:ascii="STFangsong" w:eastAsia="STFangsong" w:hAnsi="STFangsong"/>
          <w:bCs/>
          <w:iCs/>
          <w:sz w:val="28"/>
          <w:lang w:eastAsia="zh-CN"/>
        </w:rPr>
        <w:t>。</w:t>
      </w:r>
      <w:bookmarkStart w:id="2" w:name="_Hlk23357601"/>
      <w:r>
        <w:rPr>
          <w:rFonts w:ascii="STFangsong" w:eastAsia="STFangsong" w:hAnsi="STFangsong" w:hint="eastAsia"/>
          <w:bCs/>
          <w:iCs/>
          <w:sz w:val="28"/>
          <w:lang w:eastAsia="zh-CN"/>
        </w:rPr>
        <w:t>总裁先生感谢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曼谷中心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全力以赴推进与SCG的合作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，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在过去的时间里结出了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丰硕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的成果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。</w:t>
      </w:r>
      <w:r>
        <w:rPr>
          <w:rFonts w:ascii="STFangsong" w:eastAsia="STFangsong" w:hAnsi="STFangsong"/>
          <w:bCs/>
          <w:iCs/>
          <w:sz w:val="28"/>
          <w:lang w:eastAsia="zh-CN"/>
        </w:rPr>
        <w:t xml:space="preserve"> </w:t>
      </w:r>
      <w:bookmarkEnd w:id="2"/>
    </w:p>
    <w:p>
      <w:pPr>
        <w:pStyle w:val="style157"/>
        <w:ind w:firstLine="720"/>
        <w:jc w:val="thaiDistribute"/>
        <w:rPr>
          <w:rFonts w:ascii="STFangsong" w:eastAsia="STFangsong" w:hAnsi="STFangsong"/>
          <w:bCs/>
          <w:iCs/>
          <w:sz w:val="28"/>
          <w:lang w:eastAsia="zh-CN"/>
        </w:rPr>
      </w:pPr>
      <w:r>
        <w:rPr>
          <w:rFonts w:ascii="STFangsong" w:eastAsia="STFangsong" w:hAnsi="STFangsong" w:hint="eastAsia"/>
          <w:bCs/>
          <w:iCs/>
          <w:sz w:val="28"/>
          <w:lang w:eastAsia="zh-CN"/>
        </w:rPr>
        <w:t>据悉，曼谷中心和SCG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重点将在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如下五个方面开展合作：</w:t>
      </w:r>
    </w:p>
    <w:p>
      <w:pPr>
        <w:pStyle w:val="style157"/>
        <w:ind w:firstLine="720"/>
        <w:jc w:val="thaiDistribute"/>
        <w:rPr>
          <w:rFonts w:ascii="STFangsong" w:eastAsia="STFangsong" w:hAnsi="STFangsong"/>
          <w:bCs/>
          <w:iCs/>
          <w:sz w:val="28"/>
          <w:lang w:eastAsia="zh-CN"/>
        </w:rPr>
      </w:pPr>
      <w:r>
        <w:rPr>
          <w:rFonts w:ascii="STFangsong" w:eastAsia="STFangsong" w:hAnsi="STFangsong"/>
          <w:bCs/>
          <w:iCs/>
          <w:sz w:val="28"/>
          <w:lang w:eastAsia="zh-CN"/>
        </w:rPr>
        <w:t>1.在泰国科学园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内，共建SCG-曼谷中心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开放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创新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平台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。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该合作平台</w:t>
      </w:r>
      <w:r>
        <w:rPr>
          <w:rFonts w:ascii="STFangsong" w:eastAsia="STFangsong" w:hAnsi="STFangsong"/>
          <w:bCs/>
          <w:iCs/>
          <w:sz w:val="28"/>
          <w:lang w:eastAsia="zh-CN"/>
        </w:rPr>
        <w:t>为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双方及相关合作伙伴举办</w:t>
      </w:r>
      <w:r>
        <w:rPr>
          <w:rFonts w:ascii="STFangsong" w:eastAsia="STFangsong" w:hAnsi="STFangsong"/>
          <w:bCs/>
          <w:iCs/>
          <w:sz w:val="28"/>
          <w:lang w:eastAsia="zh-CN"/>
        </w:rPr>
        <w:t>创新展览</w:t>
      </w:r>
      <w:r>
        <w:rPr>
          <w:rFonts w:ascii="STFangsong" w:eastAsia="STFangsong" w:hAnsi="STFangsong"/>
          <w:bCs/>
          <w:iCs/>
          <w:sz w:val="28"/>
          <w:lang w:eastAsia="zh-CN"/>
        </w:rPr>
        <w:t>、学术会议和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联合实验工作</w:t>
      </w:r>
      <w:r>
        <w:rPr>
          <w:rFonts w:ascii="STFangsong" w:eastAsia="STFangsong" w:hAnsi="STFangsong"/>
          <w:bCs/>
          <w:iCs/>
          <w:sz w:val="28"/>
          <w:lang w:eastAsia="zh-CN"/>
        </w:rPr>
        <w:t>提供了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优质的创新氛围</w:t>
      </w:r>
      <w:r>
        <w:rPr>
          <w:rFonts w:ascii="STFangsong" w:eastAsia="STFangsong" w:hAnsi="STFangsong"/>
          <w:bCs/>
          <w:iCs/>
          <w:sz w:val="28"/>
          <w:lang w:eastAsia="zh-CN"/>
        </w:rPr>
        <w:t>。</w:t>
      </w:r>
    </w:p>
    <w:p>
      <w:pPr>
        <w:pStyle w:val="style157"/>
        <w:ind w:firstLine="720"/>
        <w:jc w:val="thaiDistribute"/>
        <w:rPr>
          <w:rFonts w:ascii="STFangsong" w:eastAsia="STFangsong" w:hAnsi="STFangsong"/>
          <w:bCs/>
          <w:iCs/>
          <w:sz w:val="28"/>
          <w:lang w:eastAsia="zh-CN"/>
        </w:rPr>
      </w:pPr>
      <w:r>
        <w:rPr>
          <w:rFonts w:ascii="STFangsong" w:eastAsia="STFangsong" w:hAnsi="STFangsong"/>
          <w:bCs/>
          <w:iCs/>
          <w:sz w:val="28"/>
          <w:lang w:eastAsia="zh-CN"/>
        </w:rPr>
        <w:t>2.</w:t>
      </w:r>
      <w:r>
        <w:rPr>
          <w:rFonts w:ascii="STFangsong" w:eastAsia="STFangsong" w:hAnsi="STFangsong"/>
          <w:bCs/>
          <w:iCs/>
          <w:sz w:val="28"/>
          <w:lang w:eastAsia="zh-CN"/>
        </w:rPr>
        <w:t>通过</w:t>
      </w:r>
      <w:r>
        <w:rPr>
          <w:rFonts w:ascii="STFangsong" w:eastAsia="STFangsong" w:hAnsi="STFangsong"/>
          <w:bCs/>
          <w:iCs/>
          <w:sz w:val="28"/>
          <w:lang w:eastAsia="zh-CN"/>
        </w:rPr>
        <w:t>技术转让和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技术</w:t>
      </w:r>
      <w:r>
        <w:rPr>
          <w:rFonts w:ascii="STFangsong" w:eastAsia="STFangsong" w:hAnsi="STFangsong"/>
          <w:bCs/>
          <w:iCs/>
          <w:sz w:val="28"/>
          <w:lang w:eastAsia="zh-CN"/>
        </w:rPr>
        <w:t>许可，引入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中国科学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院具有市场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成熟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度和世界领衔性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的</w:t>
      </w:r>
      <w:r>
        <w:rPr>
          <w:rFonts w:ascii="STFangsong" w:eastAsia="STFangsong" w:hAnsi="STFangsong"/>
          <w:bCs/>
          <w:iCs/>
          <w:sz w:val="28"/>
          <w:lang w:eastAsia="zh-CN"/>
        </w:rPr>
        <w:t>技术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。全方位协助</w:t>
      </w:r>
      <w:r>
        <w:rPr>
          <w:rFonts w:ascii="STFangsong" w:eastAsia="STFangsong" w:hAnsi="STFangsong"/>
          <w:bCs/>
          <w:iCs/>
          <w:sz w:val="28"/>
          <w:lang w:eastAsia="zh-CN"/>
        </w:rPr>
        <w:t>SCG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解决经营业务过程中</w:t>
      </w:r>
      <w:r>
        <w:rPr>
          <w:rFonts w:ascii="STFangsong" w:eastAsia="STFangsong" w:hAnsi="STFangsong"/>
          <w:bCs/>
          <w:iCs/>
          <w:sz w:val="28"/>
          <w:lang w:eastAsia="zh-CN"/>
        </w:rPr>
        <w:t>的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技术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难题，为其工业生产技术转型升级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提供中国科学院解决方案。</w:t>
      </w:r>
    </w:p>
    <w:p>
      <w:pPr>
        <w:pStyle w:val="style157"/>
        <w:ind w:firstLine="720"/>
        <w:jc w:val="thaiDistribute"/>
        <w:rPr>
          <w:rFonts w:ascii="STFangsong" w:eastAsia="STFangsong" w:hAnsi="STFangsong"/>
          <w:bCs/>
          <w:iCs/>
          <w:sz w:val="28"/>
          <w:cs/>
        </w:rPr>
      </w:pPr>
      <w:r>
        <w:rPr>
          <w:rFonts w:ascii="STFangsong" w:eastAsia="STFangsong" w:hAnsi="STFangsong"/>
          <w:bCs/>
          <w:iCs/>
          <w:sz w:val="28"/>
          <w:lang w:eastAsia="zh-CN"/>
        </w:rPr>
        <w:t>3.</w:t>
      </w:r>
      <w:r>
        <w:rPr>
          <w:rFonts w:ascii="STFangsong" w:eastAsia="STFangsong" w:hAnsi="STFangsong"/>
          <w:bCs/>
          <w:iCs/>
          <w:sz w:val="28"/>
          <w:lang w:eastAsia="zh-CN"/>
        </w:rPr>
        <w:t>联合</w:t>
      </w:r>
      <w:r>
        <w:rPr>
          <w:rFonts w:ascii="STFangsong" w:eastAsia="STFangsong" w:hAnsi="STFangsong"/>
          <w:bCs/>
          <w:iCs/>
          <w:sz w:val="28"/>
          <w:lang w:eastAsia="zh-CN"/>
        </w:rPr>
        <w:t>创新</w:t>
      </w:r>
      <w:r>
        <w:rPr>
          <w:rFonts w:ascii="STFangsong" w:eastAsia="STFangsong" w:hAnsi="STFangsong"/>
          <w:bCs/>
          <w:iCs/>
          <w:sz w:val="28"/>
          <w:lang w:eastAsia="zh-CN"/>
        </w:rPr>
        <w:t>研究项目，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有偿</w:t>
      </w:r>
      <w:r>
        <w:rPr>
          <w:rFonts w:ascii="STFangsong" w:eastAsia="STFangsong" w:hAnsi="STFangsong"/>
          <w:bCs/>
          <w:iCs/>
          <w:sz w:val="28"/>
          <w:lang w:eastAsia="zh-CN"/>
        </w:rPr>
        <w:t>开发符合SCG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各个</w:t>
      </w:r>
      <w:r>
        <w:rPr>
          <w:rFonts w:ascii="STFangsong" w:eastAsia="STFangsong" w:hAnsi="STFangsong"/>
          <w:bCs/>
          <w:iCs/>
          <w:sz w:val="28"/>
          <w:lang w:eastAsia="zh-CN"/>
        </w:rPr>
        <w:t>业务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板块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所</w:t>
      </w:r>
      <w:r>
        <w:rPr>
          <w:rFonts w:ascii="STFangsong" w:eastAsia="STFangsong" w:hAnsi="STFangsong"/>
          <w:bCs/>
          <w:iCs/>
          <w:sz w:val="28"/>
          <w:lang w:eastAsia="zh-CN"/>
        </w:rPr>
        <w:t>需要</w:t>
      </w:r>
      <w:r>
        <w:rPr>
          <w:rFonts w:ascii="STFangsong" w:eastAsia="STFangsong" w:hAnsi="STFangsong"/>
          <w:bCs/>
          <w:iCs/>
          <w:sz w:val="28"/>
          <w:lang w:eastAsia="zh-CN"/>
        </w:rPr>
        <w:t>的新技术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，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双方将各自派出科研人员团队进行科研合作对接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，互利共赢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。</w:t>
      </w:r>
    </w:p>
    <w:p>
      <w:pPr>
        <w:pStyle w:val="style157"/>
        <w:ind w:firstLine="720"/>
        <w:jc w:val="thaiDistribute"/>
        <w:rPr>
          <w:rFonts w:ascii="STFangsong" w:eastAsia="STFangsong" w:hAnsi="STFangsong"/>
          <w:bCs/>
          <w:iCs/>
          <w:sz w:val="28"/>
          <w:lang w:eastAsia="zh-CN"/>
        </w:rPr>
      </w:pPr>
      <w:r>
        <w:rPr>
          <w:rFonts w:ascii="STFangsong" w:eastAsia="STFangsong" w:hAnsi="STFangsong"/>
          <w:bCs/>
          <w:iCs/>
          <w:sz w:val="28"/>
          <w:lang w:eastAsia="zh-CN"/>
        </w:rPr>
        <w:t>4.通过专业培训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、</w:t>
      </w:r>
      <w:r>
        <w:rPr>
          <w:rFonts w:ascii="STFangsong" w:eastAsia="STFangsong" w:hAnsi="STFangsong"/>
          <w:bCs/>
          <w:iCs/>
          <w:sz w:val="28"/>
          <w:lang w:eastAsia="zh-CN"/>
        </w:rPr>
        <w:t>高等教育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和</w:t>
      </w:r>
      <w:r>
        <w:rPr>
          <w:rFonts w:ascii="STFangsong" w:eastAsia="STFangsong" w:hAnsi="STFangsong"/>
          <w:bCs/>
          <w:iCs/>
          <w:sz w:val="28"/>
          <w:lang w:eastAsia="zh-CN"/>
        </w:rPr>
        <w:t>短期课程学习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等形式，为SCG量身定制专业人才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科技创新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能力提升计划</w:t>
      </w:r>
      <w:r>
        <w:rPr>
          <w:rFonts w:ascii="STFangsong" w:eastAsia="STFangsong" w:hAnsi="STFangsong"/>
          <w:bCs/>
          <w:iCs/>
          <w:sz w:val="28"/>
          <w:lang w:eastAsia="zh-CN"/>
        </w:rPr>
        <w:t>。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双方还将在共同关心的领域，开展</w:t>
      </w:r>
      <w:r>
        <w:rPr>
          <w:rFonts w:ascii="STFangsong" w:eastAsia="STFangsong" w:hAnsi="STFangsong"/>
          <w:bCs/>
          <w:iCs/>
          <w:sz w:val="28"/>
          <w:lang w:eastAsia="zh-CN"/>
        </w:rPr>
        <w:t>主题研讨会。</w:t>
      </w:r>
    </w:p>
    <w:bookmarkStart w:id="3" w:name="_Hlk23357176"/>
    <w:p>
      <w:pPr>
        <w:pStyle w:val="style157"/>
        <w:ind w:firstLine="720"/>
        <w:jc w:val="thaiDistribute"/>
        <w:rPr>
          <w:rFonts w:ascii="STFangsong" w:eastAsia="STFangsong" w:hAnsi="STFangsong"/>
          <w:bCs/>
          <w:iCs/>
          <w:sz w:val="28"/>
          <w:lang w:eastAsia="zh-CN"/>
        </w:rPr>
      </w:pPr>
      <w:r>
        <w:rPr>
          <w:rFonts w:ascii="STFangsong" w:eastAsia="STFangsong" w:hAnsi="STFangsong"/>
          <w:bCs/>
          <w:iCs/>
          <w:sz w:val="28"/>
          <w:lang w:eastAsia="zh-CN"/>
        </w:rPr>
        <w:t>5.</w:t>
      </w:r>
      <w:r>
        <w:rPr>
          <w:rFonts w:ascii="STFangsong" w:eastAsia="STFangsong" w:hAnsi="STFangsong"/>
          <w:bCs/>
          <w:iCs/>
          <w:sz w:val="28"/>
          <w:lang w:eastAsia="zh-CN"/>
        </w:rPr>
        <w:t>开展</w:t>
      </w:r>
      <w:r>
        <w:rPr>
          <w:rFonts w:ascii="STFangsong" w:eastAsia="STFangsong" w:hAnsi="STFangsong"/>
          <w:bCs/>
          <w:iCs/>
          <w:sz w:val="28"/>
          <w:lang w:eastAsia="zh-CN"/>
        </w:rPr>
        <w:t>投资合作，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双方将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在世界领衔行业和热门领域寻求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联合</w:t>
      </w:r>
      <w:r>
        <w:rPr>
          <w:rFonts w:ascii="STFangsong" w:eastAsia="STFangsong" w:hAnsi="STFangsong"/>
          <w:bCs/>
          <w:iCs/>
          <w:sz w:val="28"/>
          <w:lang w:eastAsia="zh-CN"/>
        </w:rPr>
        <w:t>投资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的</w:t>
      </w:r>
      <w:r>
        <w:rPr>
          <w:rFonts w:ascii="STFangsong" w:eastAsia="STFangsong" w:hAnsi="STFangsong"/>
          <w:bCs/>
          <w:iCs/>
          <w:sz w:val="28"/>
          <w:lang w:eastAsia="zh-CN"/>
        </w:rPr>
        <w:t>机会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。同时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共同</w:t>
      </w:r>
      <w:r>
        <w:rPr>
          <w:rFonts w:ascii="STFangsong" w:eastAsia="STFangsong" w:hAnsi="STFangsong"/>
          <w:bCs/>
          <w:iCs/>
          <w:sz w:val="28"/>
          <w:lang w:eastAsia="zh-CN"/>
        </w:rPr>
        <w:t>研究在东盟地区设立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以</w:t>
      </w:r>
      <w:r>
        <w:rPr>
          <w:rFonts w:ascii="STFangsong" w:eastAsia="STFangsong" w:hAnsi="STFangsong"/>
          <w:bCs/>
          <w:iCs/>
          <w:sz w:val="28"/>
          <w:lang w:eastAsia="zh-CN"/>
        </w:rPr>
        <w:t>技术和创新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为主导的投资</w:t>
      </w:r>
      <w:r>
        <w:rPr>
          <w:rFonts w:ascii="STFangsong" w:eastAsia="STFangsong" w:hAnsi="STFangsong"/>
          <w:bCs/>
          <w:iCs/>
          <w:sz w:val="28"/>
          <w:lang w:eastAsia="zh-CN"/>
        </w:rPr>
        <w:t>基金的可能性。</w:t>
      </w:r>
    </w:p>
    <w:bookmarkEnd w:id="3"/>
    <w:p>
      <w:pPr>
        <w:pStyle w:val="style157"/>
        <w:ind w:firstLine="720"/>
        <w:jc w:val="thaiDistribute"/>
        <w:rPr>
          <w:rFonts w:ascii="STFangsong" w:eastAsia="STFangsong" w:hAnsi="STFangsong"/>
          <w:bCs/>
          <w:iCs/>
          <w:sz w:val="28"/>
          <w:lang w:eastAsia="zh-CN"/>
        </w:rPr>
      </w:pPr>
      <w:r>
        <w:rPr>
          <w:rFonts w:ascii="STFangsong" w:eastAsia="STFangsong" w:hAnsi="STFangsong" w:hint="eastAsia"/>
          <w:bCs/>
          <w:iCs/>
          <w:sz w:val="28"/>
          <w:lang w:eastAsia="zh-CN"/>
        </w:rPr>
        <w:t>双方强烈</w:t>
      </w:r>
      <w:r>
        <w:rPr>
          <w:rFonts w:ascii="STFangsong" w:eastAsia="STFangsong" w:hAnsi="STFangsong"/>
          <w:bCs/>
          <w:iCs/>
          <w:sz w:val="28"/>
          <w:lang w:eastAsia="zh-CN"/>
        </w:rPr>
        <w:t>希望这一合作关系</w:t>
      </w:r>
      <w:r>
        <w:rPr>
          <w:rFonts w:ascii="STFangsong" w:eastAsia="STFangsong" w:hAnsi="STFangsong"/>
          <w:bCs/>
          <w:iCs/>
          <w:sz w:val="28"/>
          <w:lang w:eastAsia="zh-CN"/>
        </w:rPr>
        <w:t>能够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促进合作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双方</w:t>
      </w:r>
      <w:r>
        <w:rPr>
          <w:rFonts w:ascii="STFangsong" w:eastAsia="STFangsong" w:hAnsi="STFangsong"/>
          <w:bCs/>
          <w:iCs/>
          <w:sz w:val="28"/>
          <w:lang w:eastAsia="zh-CN"/>
        </w:rPr>
        <w:t>的技术与创新能力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不断得到提升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。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通过双方不断地</w:t>
      </w:r>
      <w:r>
        <w:rPr>
          <w:rFonts w:ascii="STFangsong" w:eastAsia="STFangsong" w:hAnsi="STFangsong"/>
          <w:bCs/>
          <w:iCs/>
          <w:sz w:val="28"/>
          <w:lang w:eastAsia="zh-CN"/>
        </w:rPr>
        <w:t>相互交流，相互促进，</w:t>
      </w:r>
      <w:r>
        <w:rPr>
          <w:rFonts w:ascii="STFangsong" w:eastAsia="STFangsong" w:hAnsi="STFangsong"/>
          <w:bCs/>
          <w:iCs/>
          <w:sz w:val="28"/>
          <w:lang w:eastAsia="zh-CN"/>
        </w:rPr>
        <w:t>形成</w:t>
      </w:r>
      <w:r>
        <w:rPr>
          <w:rFonts w:ascii="STFangsong" w:eastAsia="STFangsong" w:hAnsi="STFangsong"/>
          <w:bCs/>
          <w:iCs/>
          <w:sz w:val="28"/>
          <w:lang w:eastAsia="zh-CN"/>
        </w:rPr>
        <w:t>广泛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合作</w:t>
      </w:r>
      <w:r>
        <w:rPr>
          <w:rFonts w:ascii="STFangsong" w:eastAsia="STFangsong" w:hAnsi="STFangsong"/>
          <w:bCs/>
          <w:iCs/>
          <w:sz w:val="28"/>
          <w:lang w:eastAsia="zh-CN"/>
        </w:rPr>
        <w:t>的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健康科技创新</w:t>
      </w:r>
      <w:r>
        <w:rPr>
          <w:rFonts w:ascii="STFangsong" w:eastAsia="STFangsong" w:hAnsi="STFangsong"/>
          <w:bCs/>
          <w:iCs/>
          <w:sz w:val="28"/>
          <w:lang w:eastAsia="zh-CN"/>
        </w:rPr>
        <w:t>生态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链。</w:t>
      </w:r>
      <w:r>
        <w:rPr>
          <w:rFonts w:ascii="STFangsong" w:eastAsia="STFangsong" w:hAnsi="STFangsong"/>
          <w:bCs/>
          <w:iCs/>
          <w:sz w:val="28"/>
          <w:lang w:eastAsia="zh-CN"/>
        </w:rPr>
        <w:t>确保</w:t>
      </w:r>
      <w:r>
        <w:rPr>
          <w:rFonts w:ascii="STFangsong" w:eastAsia="STFangsong" w:hAnsi="STFangsong"/>
          <w:bCs/>
          <w:iCs/>
          <w:sz w:val="28"/>
          <w:lang w:eastAsia="zh-CN"/>
        </w:rPr>
        <w:t>创新产品和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技术</w:t>
      </w:r>
      <w:r>
        <w:rPr>
          <w:rFonts w:ascii="STFangsong" w:eastAsia="STFangsong" w:hAnsi="STFangsong"/>
          <w:bCs/>
          <w:iCs/>
          <w:sz w:val="28"/>
          <w:lang w:eastAsia="zh-CN"/>
        </w:rPr>
        <w:t>满足</w:t>
      </w:r>
      <w:r>
        <w:rPr>
          <w:rFonts w:ascii="STFangsong" w:eastAsia="STFangsong" w:hAnsi="STFangsong"/>
          <w:bCs/>
          <w:iCs/>
          <w:sz w:val="28"/>
          <w:lang w:eastAsia="zh-CN"/>
        </w:rPr>
        <w:t>当今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世界</w:t>
      </w:r>
      <w:r>
        <w:rPr>
          <w:rFonts w:ascii="STFangsong" w:eastAsia="STFangsong" w:hAnsi="STFangsong"/>
          <w:bCs/>
          <w:iCs/>
          <w:sz w:val="28"/>
          <w:lang w:eastAsia="zh-CN"/>
        </w:rPr>
        <w:t>多元化</w:t>
      </w:r>
      <w:r>
        <w:rPr>
          <w:rFonts w:ascii="STFangsong" w:eastAsia="STFangsong" w:hAnsi="STFangsong"/>
          <w:bCs/>
          <w:iCs/>
          <w:sz w:val="28"/>
          <w:lang w:eastAsia="zh-CN"/>
        </w:rPr>
        <w:t>消费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市场和消费</w:t>
      </w:r>
      <w:r>
        <w:rPr>
          <w:rFonts w:ascii="STFangsong" w:eastAsia="STFangsong" w:hAnsi="STFangsong"/>
          <w:bCs/>
          <w:iCs/>
          <w:sz w:val="28"/>
          <w:lang w:eastAsia="zh-CN"/>
        </w:rPr>
        <w:t>者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对“</w:t>
      </w:r>
      <w:r>
        <w:rPr>
          <w:rFonts w:ascii="STFangsong" w:eastAsia="STFangsong" w:hAnsi="STFangsong"/>
          <w:bCs/>
          <w:iCs/>
          <w:sz w:val="28"/>
          <w:lang w:eastAsia="zh-CN"/>
        </w:rPr>
        <w:t>更快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”、“</w:t>
      </w:r>
      <w:r>
        <w:rPr>
          <w:rFonts w:ascii="STFangsong" w:eastAsia="STFangsong" w:hAnsi="STFangsong"/>
          <w:bCs/>
          <w:iCs/>
          <w:sz w:val="28"/>
          <w:lang w:eastAsia="zh-CN"/>
        </w:rPr>
        <w:t>更好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”</w:t>
      </w:r>
      <w:r>
        <w:rPr>
          <w:rFonts w:ascii="STFangsong" w:eastAsia="STFangsong" w:hAnsi="STFangsong"/>
          <w:bCs/>
          <w:iCs/>
          <w:sz w:val="28"/>
          <w:lang w:eastAsia="zh-CN"/>
        </w:rPr>
        <w:t>的需求。</w:t>
      </w:r>
      <w:r>
        <w:rPr>
          <w:rFonts w:ascii="STFangsong" w:eastAsia="STFangsong" w:hAnsi="STFangsong" w:hint="eastAsia"/>
          <w:bCs/>
          <w:iCs/>
          <w:sz w:val="28"/>
          <w:lang w:eastAsia="zh-CN"/>
        </w:rPr>
        <w:t>“中泰一家亲”的美誉源远流长，相信曼谷中心和SCG的战略合作必将提升各自竞争力，促进当地经济社会发展，最终造福两国人民</w:t>
      </w:r>
      <w:r>
        <w:rPr>
          <w:rFonts w:ascii="STFangsong" w:eastAsia="STFangsong" w:hAnsi="STFangsong"/>
          <w:bCs/>
          <w:iCs/>
          <w:sz w:val="28"/>
          <w:lang w:eastAsia="zh-CN"/>
        </w:rPr>
        <w:t>。</w:t>
      </w:r>
    </w:p>
    <w:p>
      <w:pPr>
        <w:pStyle w:val="style157"/>
        <w:jc w:val="thaiDistribute"/>
        <w:rPr>
          <w:rFonts w:ascii="STFangsong" w:eastAsia="STFangsong" w:hAnsi="STFangsong"/>
          <w:bCs/>
          <w:iCs/>
          <w:sz w:val="28"/>
          <w:lang w:eastAsia="zh-CN"/>
        </w:rPr>
      </w:pPr>
    </w:p>
    <w:p>
      <w:pPr>
        <w:pStyle w:val="style157"/>
        <w:jc w:val="thaiDistribute"/>
        <w:rPr>
          <w:rFonts w:ascii="STFangsong" w:eastAsia="STFangsong" w:hAnsi="STFangsong"/>
          <w:bCs/>
          <w:iCs/>
          <w:sz w:val="28"/>
          <w:highlight w:val="yellow"/>
          <w:cs/>
        </w:rPr>
      </w:pPr>
      <w:r>
        <w:rPr>
          <w:rFonts w:ascii="STFangsong" w:eastAsia="STFangsong" w:hAnsi="STFangsong"/>
          <w:bCs/>
          <w:iCs/>
          <w:sz w:val="28"/>
        </w:rPr>
        <w:t>*********************************************</w:t>
      </w:r>
    </w:p>
    <w:p>
      <w:pPr>
        <w:pStyle w:val="style157"/>
        <w:jc w:val="thaiDistribute"/>
        <w:rPr>
          <w:rFonts w:ascii="STFangsong" w:eastAsia="STFangsong" w:hAnsi="STFangsong"/>
          <w:bCs/>
          <w:iCs/>
          <w:sz w:val="28"/>
        </w:rPr>
      </w:pPr>
    </w:p>
    <w:sectPr>
      <w:footerReference w:type="default" r:id="rId2"/>
      <w:pgSz w:w="11906" w:h="16838" w:orient="portrait"/>
      <w:pgMar w:top="993" w:right="1440" w:bottom="426" w:left="1440" w:header="70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dia New">
    <w:altName w:val="Cordia New"/>
    <w:panose1 w:val="020b0304020002020204"/>
    <w:charset w:val="00"/>
    <w:family w:val="swiss"/>
    <w:pitch w:val="variable"/>
    <w:sig w:usb0="81000003" w:usb1="00000000" w:usb2="00000000" w:usb3="00000000" w:csb0="0001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Browallia New">
    <w:altName w:val="Browallia New"/>
    <w:panose1 w:val="020b0604020002020204"/>
    <w:charset w:val="00"/>
    <w:family w:val="swiss"/>
    <w:pitch w:val="variable"/>
    <w:sig w:usb0="81000003" w:usb1="00000000" w:usb2="00000000" w:usb3="00000000" w:csb0="00010001" w:csb1="00000000"/>
  </w:font>
  <w:font w:name="Courier New">
    <w:altName w:val="Courier New"/>
    <w:panose1 w:val="02070309020002020404"/>
    <w:charset w:val="00"/>
    <w:family w:val="auto"/>
    <w:pitch w:val="variable"/>
    <w:sig w:usb0="00000003" w:usb1="00000000" w:usb2="00000000" w:usb3="00000000" w:csb0="00000001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egoe UI"/>
    <w:panose1 w:val="020b0502040002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Angsana New"/>
    <w:panose1 w:val="02020603050004020304"/>
    <w:charset w:val="00"/>
    <w:family w:val="roman"/>
    <w:pitch w:val="variable"/>
    <w:sig w:usb0="81000003" w:usb1="00000000" w:usb2="00000000" w:usb3="00000000" w:csb0="00010001" w:csb1="00000000"/>
  </w:font>
  <w:font w:name="Microsoft YaHei">
    <w:altName w:val="Microsoft YaHei"/>
    <w:panose1 w:val="020b0503020002020204"/>
    <w:charset w:val="86"/>
    <w:family w:val="swiss"/>
    <w:pitch w:val="variable"/>
    <w:sig w:usb0="80000287" w:usb1="2ACF3C50" w:usb2="00000016" w:usb3="00000000" w:csb0="0004001F" w:csb1="00000000"/>
  </w:font>
  <w:font w:name="STFangsong">
    <w:altName w:val="STFangsong"/>
    <w:panose1 w:val="00000000000000000000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 Light"/>
    <w:panose1 w:val="020f0302020002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jc w:val="center"/>
      <w:rPr>
        <w:rFonts w:ascii="Cordia New" w:hAnsi="Cordia New"/>
        <w:sz w:val="28"/>
      </w:rPr>
    </w:pPr>
    <w:r>
      <w:rPr>
        <w:sz w:val="28"/>
      </w:rPr>
      <w:fldChar w:fldCharType="begin"/>
    </w:r>
    <w:r>
      <w:rPr>
        <w:sz w:val="28"/>
      </w:rPr>
      <w:instrText xml:space="preserve"> PAGE   \* MERGEFORMAT </w:instrText>
    </w:r>
    <w:r>
      <w:rPr>
        <w:sz w:val="28"/>
      </w:rPr>
      <w:fldChar w:fldCharType="separate"/>
    </w:r>
    <w:r>
      <w:rPr>
        <w:noProof/>
        <w:sz w:val="28"/>
      </w:rPr>
      <w:t>1</w:t>
    </w:r>
    <w:r>
      <w:rPr>
        <w:noProof/>
        <w:sz w:val="28"/>
      </w:rPr>
      <w:fldChar w:fldCharType="end"/>
    </w:r>
  </w:p>
  <w:p>
    <w:pPr>
      <w:pStyle w:val="style32"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C8B430EE"/>
    <w:lvl w:ilvl="0">
      <w:start w:val="1"/>
      <w:numFmt w:val="decimal"/>
      <w:lvlText w:val="%1."/>
      <w:lvlJc w:val="left"/>
      <w:pPr>
        <w:ind w:left="360" w:hanging="360"/>
      </w:pPr>
      <w:rPr>
        <w:rFonts w:ascii="Cordia New" w:cs="Cordia New" w:eastAsia="Times New Roman" w:hAnsi="Cordia New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false"/>
        <w:bCs w:val="false"/>
        <w:lang w:bidi="th-TH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4."/>
      <w:lvlJc w:val="left"/>
      <w:pPr>
        <w:ind w:left="1571" w:hanging="720"/>
      </w:pPr>
      <w:rPr>
        <w:lang w:bidi="th-TH"/>
      </w:r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">
    <w:nsid w:val="00000001"/>
    <w:multiLevelType w:val="hybridMultilevel"/>
    <w:tmpl w:val="1A688544"/>
    <w:lvl w:ilvl="0" w:tplc="ED30F5D8">
      <w:start w:val="1"/>
      <w:numFmt w:val="decimal"/>
      <w:lvlText w:val="%1)"/>
      <w:lvlJc w:val="left"/>
      <w:pPr>
        <w:ind w:left="1713" w:hanging="360"/>
      </w:p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>
      <w:start w:val="1"/>
      <w:numFmt w:val="lowerRoman"/>
      <w:lvlText w:val="%3."/>
      <w:lvlJc w:val="right"/>
      <w:pPr>
        <w:ind w:left="3153" w:hanging="180"/>
      </w:pPr>
    </w:lvl>
    <w:lvl w:ilvl="3" w:tplc="0409000F">
      <w:start w:val="1"/>
      <w:numFmt w:val="decimal"/>
      <w:lvlText w:val="%4."/>
      <w:lvlJc w:val="left"/>
      <w:pPr>
        <w:ind w:left="3873" w:hanging="360"/>
      </w:pPr>
    </w:lvl>
    <w:lvl w:ilvl="4" w:tplc="04090019">
      <w:start w:val="1"/>
      <w:numFmt w:val="lowerLetter"/>
      <w:lvlText w:val="%5."/>
      <w:lvlJc w:val="left"/>
      <w:pPr>
        <w:ind w:left="4593" w:hanging="360"/>
      </w:pPr>
    </w:lvl>
    <w:lvl w:ilvl="5" w:tplc="0409001B">
      <w:start w:val="1"/>
      <w:numFmt w:val="lowerRoman"/>
      <w:lvlText w:val="%6."/>
      <w:lvlJc w:val="right"/>
      <w:pPr>
        <w:ind w:left="5313" w:hanging="180"/>
      </w:pPr>
    </w:lvl>
    <w:lvl w:ilvl="6" w:tplc="0409000F">
      <w:start w:val="1"/>
      <w:numFmt w:val="decimal"/>
      <w:lvlText w:val="%7."/>
      <w:lvlJc w:val="left"/>
      <w:pPr>
        <w:ind w:left="6033" w:hanging="360"/>
      </w:pPr>
    </w:lvl>
    <w:lvl w:ilvl="7" w:tplc="04090019">
      <w:start w:val="1"/>
      <w:numFmt w:val="lowerLetter"/>
      <w:lvlText w:val="%8."/>
      <w:lvlJc w:val="left"/>
      <w:pPr>
        <w:ind w:left="6753" w:hanging="360"/>
      </w:pPr>
    </w:lvl>
    <w:lvl w:ilvl="8" w:tplc="0409001B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00000002"/>
    <w:multiLevelType w:val="hybridMultilevel"/>
    <w:tmpl w:val="A38A81C2"/>
    <w:lvl w:ilvl="0" w:tplc="7A349E98">
      <w:start w:val="1"/>
      <w:numFmt w:val="bullet"/>
      <w:lvlText w:val="-"/>
      <w:lvlJc w:val="left"/>
      <w:pPr>
        <w:ind w:left="720" w:hanging="360"/>
      </w:pPr>
      <w:rPr>
        <w:rFonts w:ascii="Browallia New" w:cs="Browallia New" w:eastAsia="Cordia New" w:hAnsi="Browallia New" w:hint="default"/>
        <w:b/>
        <w:color w:val="000000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90F8F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trackRevisions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Cordia New" w:eastAsia="SimSun" w:hAnsi="Calibri"/>
        <w:sz w:val="22"/>
        <w:szCs w:val="28"/>
        <w:lang w:val="en-US" w:bidi="th-TH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513"/>
        <w:tab w:val="right" w:leader="none" w:pos="9026"/>
      </w:tabs>
      <w:spacing w:after="0" w:lineRule="auto" w:line="240"/>
    </w:pPr>
    <w:rPr/>
  </w:style>
  <w:style w:type="character" w:customStyle="1" w:styleId="style4097">
    <w:name w:val="Header Char_d47ee8b5-361a-4a2c-a3aa-69557c76bd8e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513"/>
        <w:tab w:val="right" w:leader="none" w:pos="9026"/>
      </w:tabs>
      <w:spacing w:after="0" w:lineRule="auto" w:line="240"/>
    </w:pPr>
    <w:rPr/>
  </w:style>
  <w:style w:type="character" w:customStyle="1" w:styleId="style4098">
    <w:name w:val="Footer Char_ad24a319-f377-47d3-a81c-d442fc75cc6b"/>
    <w:basedOn w:val="style65"/>
    <w:next w:val="style4098"/>
    <w:link w:val="style32"/>
    <w:uiPriority w:val="99"/>
  </w:style>
  <w:style w:type="paragraph" w:styleId="style179">
    <w:name w:val="List Paragraph"/>
    <w:basedOn w:val="style0"/>
    <w:next w:val="style179"/>
    <w:qFormat/>
    <w:uiPriority w:val="34"/>
    <w:pPr>
      <w:spacing w:lineRule="auto" w:line="251"/>
      <w:ind w:left="720"/>
      <w:contextualSpacing/>
    </w:pPr>
    <w:rPr>
      <w:rFonts w:ascii="Calibri" w:cs="Calibri" w:hAnsi="Calibri"/>
      <w:szCs w:val="22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paragraph" w:styleId="style153">
    <w:name w:val="Balloon Text"/>
    <w:basedOn w:val="style0"/>
    <w:next w:val="style153"/>
    <w:link w:val="style4099"/>
    <w:uiPriority w:val="99"/>
    <w:pPr>
      <w:spacing w:after="0" w:lineRule="auto" w:line="240"/>
    </w:pPr>
    <w:rPr>
      <w:rFonts w:ascii="Segoe UI" w:cs="Angsana New" w:hAnsi="Segoe UI"/>
      <w:sz w:val="18"/>
      <w:szCs w:val="22"/>
    </w:rPr>
  </w:style>
  <w:style w:type="character" w:customStyle="1" w:styleId="style4099">
    <w:name w:val="Balloon Text Char"/>
    <w:basedOn w:val="style65"/>
    <w:next w:val="style4099"/>
    <w:link w:val="style153"/>
    <w:uiPriority w:val="99"/>
    <w:rPr>
      <w:rFonts w:ascii="Segoe UI" w:cs="Angsana New" w:hAnsi="Segoe UI"/>
      <w:sz w:val="18"/>
      <w:szCs w:val="22"/>
    </w:rPr>
  </w:style>
  <w:style w:type="character" w:styleId="style156">
    <w:name w:val="Placeholder Text"/>
    <w:basedOn w:val="style65"/>
    <w:next w:val="style156"/>
    <w:uiPriority w:val="99"/>
    <w:rPr>
      <w:color w:val="808080"/>
    </w:rPr>
  </w:style>
  <w:style w:type="character" w:styleId="style39">
    <w:name w:val="annotation reference"/>
    <w:basedOn w:val="style65"/>
    <w:next w:val="style39"/>
    <w:uiPriority w:val="99"/>
    <w:rPr>
      <w:sz w:val="21"/>
      <w:szCs w:val="21"/>
    </w:rPr>
  </w:style>
  <w:style w:type="paragraph" w:styleId="style30">
    <w:name w:val="annotation text"/>
    <w:basedOn w:val="style0"/>
    <w:next w:val="style30"/>
    <w:link w:val="style4100"/>
    <w:uiPriority w:val="99"/>
    <w:pPr/>
  </w:style>
  <w:style w:type="character" w:customStyle="1" w:styleId="style4100">
    <w:name w:val="Comment Text Char"/>
    <w:basedOn w:val="style65"/>
    <w:next w:val="style4100"/>
    <w:link w:val="style30"/>
    <w:uiPriority w:val="99"/>
  </w:style>
  <w:style w:type="paragraph" w:styleId="style106">
    <w:name w:val="annotation subject"/>
    <w:basedOn w:val="style30"/>
    <w:next w:val="style30"/>
    <w:link w:val="style4101"/>
    <w:uiPriority w:val="99"/>
    <w:pPr/>
    <w:rPr>
      <w:b/>
      <w:bCs/>
    </w:rPr>
  </w:style>
  <w:style w:type="character" w:customStyle="1" w:styleId="style4101">
    <w:name w:val="Comment Subject Char"/>
    <w:basedOn w:val="style4100"/>
    <w:next w:val="style4101"/>
    <w:link w:val="style106"/>
    <w:uiPriority w:val="99"/>
    <w:rPr>
      <w:b/>
      <w:bCs/>
    </w:rPr>
  </w:style>
  <w:style w:type="paragraph" w:styleId="style178">
    <w:name w:val="Revision"/>
    <w:next w:val="style178"/>
    <w:uiPriority w:val="99"/>
    <w:pPr>
      <w:spacing w:after="0" w:lineRule="auto" w:line="24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017E5-2712-459C-B7EA-E4DC27FA1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Words>1080</Words>
  <Pages>2</Pages>
  <Characters>1156</Characters>
  <Application>WPS Office</Application>
  <DocSecurity>0</DocSecurity>
  <Paragraphs>20</Paragraphs>
  <ScaleCrop>false</ScaleCrop>
  <LinksUpToDate>false</LinksUpToDate>
  <CharactersWithSpaces>1161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2019-11-05T05:00:00Z</dcterms:created>
  <dc:creator>Pattraporn Yosvichit</dc:creator>
  <lastModifiedBy>LYA-AL00</lastModifiedBy>
  <lastPrinted>2019-11-01T02:40:00Z</lastPrinted>
  <dcterms:modified xsi:type="dcterms:W3CDTF">2019-11-05T05:02:24Z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f0ac9c3-582c-4286-b771-56cdc4313916_Enabled">
    <vt:lpwstr>True</vt:lpwstr>
  </property>
  <property fmtid="{D5CDD505-2E9C-101B-9397-08002B2CF9AE}" pid="3" name="MSIP_Label_bf0ac9c3-582c-4286-b771-56cdc4313916_SiteId">
    <vt:lpwstr>5db8bf0e-8592-4ed0-82b2-a6d4d77933d4</vt:lpwstr>
  </property>
  <property fmtid="{D5CDD505-2E9C-101B-9397-08002B2CF9AE}" pid="4" name="MSIP_Label_bf0ac9c3-582c-4286-b771-56cdc4313916_Owner">
    <vt:lpwstr>ANURAKB@SCG.COM</vt:lpwstr>
  </property>
  <property fmtid="{D5CDD505-2E9C-101B-9397-08002B2CF9AE}" pid="5" name="MSIP_Label_bf0ac9c3-582c-4286-b771-56cdc4313916_SetDate">
    <vt:lpwstr>2019-10-30T12:47:32.4200090Z</vt:lpwstr>
  </property>
  <property fmtid="{D5CDD505-2E9C-101B-9397-08002B2CF9AE}" pid="6" name="MSIP_Label_bf0ac9c3-582c-4286-b771-56cdc4313916_Name">
    <vt:lpwstr>Internal</vt:lpwstr>
  </property>
  <property fmtid="{D5CDD505-2E9C-101B-9397-08002B2CF9AE}" pid="7" name="MSIP_Label_bf0ac9c3-582c-4286-b771-56cdc4313916_Application">
    <vt:lpwstr>Microsoft Azure Information Protection</vt:lpwstr>
  </property>
  <property fmtid="{D5CDD505-2E9C-101B-9397-08002B2CF9AE}" pid="8" name="MSIP_Label_bf0ac9c3-582c-4286-b771-56cdc4313916_Extended_MSFT_Method">
    <vt:lpwstr>Automatic</vt:lpwstr>
  </property>
  <property fmtid="{D5CDD505-2E9C-101B-9397-08002B2CF9AE}" pid="9" name="MSIP_Label_0b6b8bd8-3bc6-4f87-8415-b47e523c6d14_Enabled">
    <vt:lpwstr>True</vt:lpwstr>
  </property>
  <property fmtid="{D5CDD505-2E9C-101B-9397-08002B2CF9AE}" pid="10" name="MSIP_Label_0b6b8bd8-3bc6-4f87-8415-b47e523c6d14_SiteId">
    <vt:lpwstr>5db8bf0e-8592-4ed0-82b2-a6d4d77933d4</vt:lpwstr>
  </property>
  <property fmtid="{D5CDD505-2E9C-101B-9397-08002B2CF9AE}" pid="11" name="MSIP_Label_0b6b8bd8-3bc6-4f87-8415-b47e523c6d14_Owner">
    <vt:lpwstr>ANURAKB@SCG.COM</vt:lpwstr>
  </property>
  <property fmtid="{D5CDD505-2E9C-101B-9397-08002B2CF9AE}" pid="12" name="MSIP_Label_0b6b8bd8-3bc6-4f87-8415-b47e523c6d14_SetDate">
    <vt:lpwstr>2019-10-30T12:47:32.4200090Z</vt:lpwstr>
  </property>
  <property fmtid="{D5CDD505-2E9C-101B-9397-08002B2CF9AE}" pid="13" name="MSIP_Label_0b6b8bd8-3bc6-4f87-8415-b47e523c6d14_Name">
    <vt:lpwstr>Everyone, Full Control, Label Applied</vt:lpwstr>
  </property>
  <property fmtid="{D5CDD505-2E9C-101B-9397-08002B2CF9AE}" pid="14" name="MSIP_Label_0b6b8bd8-3bc6-4f87-8415-b47e523c6d14_Application">
    <vt:lpwstr>Microsoft Azure Information Protection</vt:lpwstr>
  </property>
  <property fmtid="{D5CDD505-2E9C-101B-9397-08002B2CF9AE}" pid="15" name="MSIP_Label_0b6b8bd8-3bc6-4f87-8415-b47e523c6d14_Parent">
    <vt:lpwstr>bf0ac9c3-582c-4286-b771-56cdc4313916</vt:lpwstr>
  </property>
  <property fmtid="{D5CDD505-2E9C-101B-9397-08002B2CF9AE}" pid="16" name="MSIP_Label_0b6b8bd8-3bc6-4f87-8415-b47e523c6d14_Extended_MSFT_Method">
    <vt:lpwstr>Automatic</vt:lpwstr>
  </property>
  <property fmtid="{D5CDD505-2E9C-101B-9397-08002B2CF9AE}" pid="17" name="Sensitivity">
    <vt:lpwstr>Internal Everyone, Full Control, Label Applied</vt:lpwstr>
  </property>
</Properties>
</file>